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B85">
        <w:rPr>
          <w:rFonts w:ascii="Times New Roman" w:hAnsi="Times New Roman" w:cs="Times New Roman"/>
          <w:b/>
          <w:sz w:val="28"/>
          <w:szCs w:val="28"/>
        </w:rPr>
        <w:t>«</w:t>
      </w:r>
      <w:r w:rsidR="004F1675" w:rsidRPr="004F1675">
        <w:rPr>
          <w:rFonts w:ascii="Times New Roman" w:hAnsi="Times New Roman" w:cs="Times New Roman"/>
          <w:b/>
          <w:sz w:val="28"/>
          <w:szCs w:val="28"/>
        </w:rPr>
        <w:t>Право ребенка на жилое помещение, приобретенное за счет средств материнского капитала, при разделе имущества между супругами</w:t>
      </w:r>
      <w:r w:rsidRPr="00E45B85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34 Семейного кодекса Российской Федерации определено, что разделу между супругами подлежит только общее имущество, нажитое ими во время брака.</w:t>
      </w:r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 имуществом являются доходы каждого из супругов от трудовой деятельности, предпринимательской деятельности и результатов интеллектуальной деятельности, полученные ими пенсии, пособия, а также иные денежные выплаты, не имеющие специального целевого назначения. </w:t>
      </w:r>
      <w:proofErr w:type="gramStart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в состав общего имущества входят приобретенные за счет общих доходов супругов движимые и недвижимые вещи, ценные бумаги, паи, вклады, доли в капитале, внесенные в кредитные учреждения или в иные коммерческие организации, и любое другое нажитое супругами в период брака имущество независимо от того, на имя кого из супругов оно приобретено, либо на имя кого или кем из супругов внесены</w:t>
      </w:r>
      <w:proofErr w:type="gramEnd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денежные средства.</w:t>
      </w:r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дополнительной социальной поддержки семей, имеющих детей, а именно средства материнского капитала, </w:t>
      </w:r>
      <w:proofErr w:type="gramStart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специальное целевое назначение и не относятся</w:t>
      </w:r>
      <w:proofErr w:type="gramEnd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совместно нажитому имуществу супругов. По данной причине средства материнского капитала не подлежат разделу между супругами.</w:t>
      </w:r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п.1 ч. 3 ст. 7 Федерального закона от 29.12.2006 № 256-ФЗ «О дополнительных мерах государственной поддержки семей, имеющих детей»  лица, получившие сертификат, могут распоряжаться средствами материнского (семейного) капитала в полном объеме либо по частям, в </w:t>
      </w:r>
      <w:proofErr w:type="spellStart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улучшение жилищных условий.</w:t>
      </w:r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10 Закона № 256-ФЗ установлено, что средства (часть средств) материнского (семейного) капитала в </w:t>
      </w:r>
      <w:proofErr w:type="gramStart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</w:t>
      </w: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распоряжении могут направляться на приобретение (строительство) жилого помещения.</w:t>
      </w:r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Жилое помещение, приобретенное (построенное, реконструированное) с использованием средств (части средств) материнского (семейного) капитала, оформляется в общую собственность родителей, детей (в том числе первого, второго, третьего ребенка и последующих детей) с определением размера долей по соглашению.</w:t>
      </w:r>
      <w:proofErr w:type="gramEnd"/>
    </w:p>
    <w:p w:rsidR="004F1675" w:rsidRPr="004F1675" w:rsidRDefault="004F1675" w:rsidP="004F1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67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названных положений законодательства при разделе жилья, приобретенного с использованием средств материнского капитала, должны учитываться доли детей.</w:t>
      </w:r>
    </w:p>
    <w:p w:rsidR="00F42B85" w:rsidRDefault="00F42B85" w:rsidP="002B7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B7CDD" w:rsidRDefault="002B7CDD" w:rsidP="002B7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F4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2B7CDD"/>
    <w:rsid w:val="004F1675"/>
    <w:rsid w:val="006A597F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2018-11-29T10:01:00Z</dcterms:created>
  <dcterms:modified xsi:type="dcterms:W3CDTF">2018-11-29T10:01:00Z</dcterms:modified>
</cp:coreProperties>
</file>